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jc w:val="center"/>
        </w:trPr>
        <w:tc>
          <w:tcPr>
            <w:tcW w:w="8306" w:type="dxa"/>
            <w:shd w:val="clear"/>
            <w:vAlign w:val="center"/>
          </w:tcPr>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PrEx>
              <w:trPr>
                <w:tblCellSpacing w:w="0" w:type="dxa"/>
                <w:jc w:val="center"/>
              </w:trPr>
              <w:tc>
                <w:tcPr>
                  <w:tcW w:w="8306" w:type="dxa"/>
                  <w:shd w:val="clear"/>
                  <w:vAlign w:val="center"/>
                </w:tcPr>
                <w:p>
                  <w:pPr>
                    <w:keepNext w:val="0"/>
                    <w:keepLines w:val="0"/>
                    <w:widowControl/>
                    <w:suppressLineNumbers w:val="0"/>
                    <w:jc w:val="center"/>
                    <w:rPr>
                      <w:color w:val="000000"/>
                      <w:sz w:val="18"/>
                      <w:szCs w:val="18"/>
                      <w:u w:val="none"/>
                    </w:rPr>
                  </w:pPr>
                  <w:r>
                    <w:rPr>
                      <w:rStyle w:val="3"/>
                      <w:rFonts w:ascii="宋体" w:hAnsi="宋体" w:eastAsia="宋体" w:cs="宋体"/>
                      <w:color w:val="000000"/>
                      <w:kern w:val="0"/>
                      <w:sz w:val="27"/>
                      <w:szCs w:val="27"/>
                      <w:u w:val="none"/>
                      <w:lang w:val="en-US" w:eastAsia="zh-CN" w:bidi="ar"/>
                    </w:rPr>
                    <w:t>陕西铁路工程职业技术学院</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         思政教研部学生暑假社会实践实施方案</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为深入贯彻《中共中央国务院关于进一步加强和改进大学生思想政治教育的意见》（中发[2004]16号）的有关精神和全国全省大学生思想政治教育工作会议精神，提高我院思想政治理论课的教学实效性，增强理论的说服力和可信度，帮助大学生树立科学的人生观和价值观，提高学生的社会实践能力和拓展学生的人文素质，结合我校实际，特制定陕西铁路工程职业技术学院学生暑假思想政治理论课社会实践实施方案。 </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一、目的内容</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思想政治理论课社会实践是大学教育中的一个重要的环节，是对学生的政治思想品德、思想政治理论课理论应用、工作能力和身心素质进行综合培养和检阅的教学形式，是培养学生运用思想政治理论课知识分析问题和解决问题的能力的重要过程。本次思政教研部组织的假期学生社会实践活动，就是要学生通过思想政治理论课社会实践，增强对邓小平理论和“三个代表”重要思想的理解，了解党的政策方针和国家法律的实际运行状况，深入实际了解社会主义改革实践的成功经验和有待进—步解决的实际问题，增强振兴中华的责任感、使命感。深入工厂和农村，了解劳动人民的工作、生活状况，学习劳动人民的勤劳朴实、爱岗敬业，无私奉献的优良品德，培养劳动人民的思想感情，树立全心全意为人民服务的思想。参加生产劳动，体验劳动生活，了解生产实际，增强劳动观念和实践第一的观点，促进理论与实践的结合。学习思想政治工作人员和专业工作人员的立场、观点和工作方法，学会理论联系实际，运用课堂中学习到的马克思主义、毛泽东思想、邓小平理论和“三个代表”重要思想的基本原理观察、发现社会实际中存在的问题，运用马克思主义的方法分析问题和提出解决问题的建议。</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二、活动主题</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深入群众受教育   投身实践促成才</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三、组织机构</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为确保我院学生暑期社会实践活动顺利进行，取得预期效果，成立思想政治理论课暑期社会实践活动领导小组：</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组长：车绪武</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副组长：李新萍   李莉   屈克林</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四、参加人员</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陕西铁路工程职业技术学院三年制2009级学生，五年制2009级、2008级、2007级学生。</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五、活动的主要形式</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1、勤工体验</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学生可在寒假期间利用各种社会资源，从自身情况出发，结合自身能力，按照自己的意愿，到企业和经济实体等进行打工或作与自己专业相符的工作，将在校所学知识付诸于实践中，使书本知识和实践有效结合，这样既可巩固理论知识，又能提高实际操作水平。在实践工作中受锻炼、增长才干，积累经验，做到“修能、致用”，学以致用，为以后的工作实习做铺垫。</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2、社会调研</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结合国家重大战略部署、时事政治热点和百姓关注的问题，鼓励学生进行深入的社会观察，开展如何有效推进经济发展方式转变，城乡医疗、文化、教育、生态建设发展状况，大学生村官发展状况，大学生就业创业等主题的调查研究，充分发挥大学生的才智，服务社会主义和谐社会建设。</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3、志愿服务</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志愿服务包括社区服务，敬老助老活动，参与志愿者助残服务、义务支教等，在活动中，践行志愿者精神，深刻感悟“奉献、友爱、互助、进步”的思想理念。         </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六、活动的时间安排</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1、第十九周公布学校思想政治理论课社会实践教学实施方案，安排部署2010年暑假思想政治理论课社会实践工作，召开社会实践动员大会。</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2、第二十周学生查阅资料，对所选内容做初步资料方面的梳理，并确立相关的实践内容；思政教研部安排指导教师就社会实践的方法、调查报告的写作等问题给学生辅导。</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3、学生暑假期间返乡进行社会实践。</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4、2010-2011学年第一学期开学一周内，学生以班为单位将调查报告交指导教师。各指导教师组织学生以班为单位进行交流和成绩评定，每班评出5篇优秀调查报告，与思想政治理论课社会实践成绩单在开学后第三周交思政教研部。</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5、2010-2011学年第一学期第3-4周由思政教研部组织、评选出一、二、三等奖和优秀奖若干，并举行学生社会实践总结表彰大会，届时，遴选优秀的调查报告在大会进行交流。</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七、活动要求</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1、参加社会实践要注意安全</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2、鼓励广大学生利用各种机会进行形式多样的、有益的社会实践和社会服务。</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3、参与社会实践的成员，在活动中要摆正位置，严格要求，认真工作，虚心向人民群众学习，培养与劳动人民的感情，发扬吃苦耐劳、艰苦奋斗的精神，要尽一切可能不给基层增加负担。</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4、在社会实践过程中要讲文明、讲纪律、讲奉献，办实事，办好事，争取办一件办成一件并取得实效，忌做表面文章。</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5、参加社会实践者一定要讲收获。在实践中要注重学用结合，认真思考和及时总结，努力把实践中获得的感性认识上升为理性认知。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6、参加社会实践要注重对学校工作的宣传，努力为社会实践创造良好的舆论氛围。</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八、组织实施</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思想政治理论课社会实践由陕西铁路工程职业技术学院思想政治理论课领导小组统一领导，由思政教研部负责安排，制定实施方案及计划，并组织思想政治理论课教师具体落实，任务分解到班，责任到人。</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思想政治理论课教师按照思想政治理论课社会实践教学方案和计划安排对大学生社会实践教学进行业务指导，同时负责大学生调研报告的评阅，并给出思想政治理论课实践教学成绩。</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各指导教师（告知学生指导教师的联系方式）负责实践教学的组织管理</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调查报告评选结束之后，汇编2010-2011学年暑期陕西铁路工程职业技术学院思想政治理论课社会实践调查报告1-2册。</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九、考评</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社会实践结束后，学生撰写社会实践报告和调研报告。社会实践报告的具体要求：</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（一）调查原则</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1.客观真实。撰写实践报告要坚持实事求是，反对弄虚作假，一旦发现有弄虚作假的行为，实践报告考核为0分。</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2.社会实践报告应该结构严谨、层次清晰、文理通顺、行文规范、书写工整。</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3.调研报告应该有自己独立的论点，有充分的资料，其中一半以上的资料必须来源于自己调查的第一手实证资料，引用他人资料必须注释。</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（二）字数要求</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社会调查报告或实践总结报告的撰写不少于2000字，包括社会实践具体情况介绍和核心内容两大部分。其中“社会实践具体情况介绍”部分应包括实践时间、地点、内容； “核心内容”部分应结合调研内容，分析现状，总结存在问题。其中“总结问题”部分，要求运用思想政治理论知识分析问题、认识问题、解决问题。</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社会调查报告后要附实践日志，有条件的最好能留下相关的照片以及实践单位的证明和评语。</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（三）考核办法</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1、思想政治理论课社会实践成绩评定主要依据思想政治理论课社会实践日志和思想政治理论课社会实践调查报告。</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2、思想政治理论课社会实践成绩将作为思想政治理论课成绩的组成部分，记入总评成绩。</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      3、对获得优秀实践报告的学生予以表彰和奖励。</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right"/>
                    <w:rPr>
                      <w:color w:val="000000"/>
                      <w:sz w:val="18"/>
                      <w:szCs w:val="18"/>
                      <w:u w:val="none"/>
                    </w:rPr>
                  </w:pPr>
                  <w:r>
                    <w:rPr>
                      <w:rStyle w:val="3"/>
                      <w:rFonts w:ascii="宋体" w:hAnsi="宋体" w:eastAsia="宋体" w:cs="宋体"/>
                      <w:color w:val="000000"/>
                      <w:kern w:val="0"/>
                      <w:sz w:val="27"/>
                      <w:szCs w:val="27"/>
                      <w:u w:val="none"/>
                      <w:lang w:val="en-US" w:eastAsia="zh-CN" w:bidi="ar"/>
                    </w:rPr>
                    <w:t>思政教研部</w:t>
                  </w:r>
                </w:p>
                <w:p>
                  <w:pPr>
                    <w:keepNext w:val="0"/>
                    <w:keepLines w:val="0"/>
                    <w:widowControl/>
                    <w:suppressLineNumbers w:val="0"/>
                    <w:jc w:val="right"/>
                    <w:rPr>
                      <w:color w:val="000000"/>
                      <w:sz w:val="18"/>
                      <w:szCs w:val="18"/>
                      <w:u w:val="none"/>
                    </w:rPr>
                  </w:pPr>
                  <w:r>
                    <w:rPr>
                      <w:rStyle w:val="3"/>
                      <w:rFonts w:ascii="宋体" w:hAnsi="宋体" w:eastAsia="宋体" w:cs="宋体"/>
                      <w:color w:val="000000"/>
                      <w:kern w:val="0"/>
                      <w:sz w:val="27"/>
                      <w:szCs w:val="27"/>
                      <w:u w:val="none"/>
                      <w:lang w:val="en-US" w:eastAsia="zh-CN" w:bidi="ar"/>
                    </w:rPr>
                    <w:t>2010年6月2日</w:t>
                  </w:r>
                </w:p>
                <w:p>
                  <w:pPr>
                    <w:keepNext w:val="0"/>
                    <w:keepLines w:val="0"/>
                    <w:widowControl/>
                    <w:suppressLineNumbers w:val="0"/>
                    <w:jc w:val="righ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Style w:val="3"/>
                      <w:rFonts w:ascii="宋体" w:hAnsi="宋体" w:eastAsia="宋体" w:cs="宋体"/>
                      <w:color w:val="000000"/>
                      <w:kern w:val="0"/>
                      <w:sz w:val="27"/>
                      <w:szCs w:val="27"/>
                      <w:u w:val="none"/>
                      <w:lang w:val="en-US" w:eastAsia="zh-CN" w:bidi="ar"/>
                    </w:rPr>
                    <w:t>陕西铁路工程职业技术学院</w:t>
                  </w:r>
                </w:p>
                <w:p>
                  <w:pPr>
                    <w:keepNext w:val="0"/>
                    <w:keepLines w:val="0"/>
                    <w:widowControl/>
                    <w:suppressLineNumbers w:val="0"/>
                    <w:jc w:val="center"/>
                    <w:rPr>
                      <w:color w:val="000000"/>
                      <w:sz w:val="18"/>
                      <w:szCs w:val="18"/>
                      <w:u w:val="none"/>
                    </w:rPr>
                  </w:pPr>
                  <w:r>
                    <w:rPr>
                      <w:rStyle w:val="3"/>
                      <w:rFonts w:ascii="宋体" w:hAnsi="宋体" w:eastAsia="宋体" w:cs="宋体"/>
                      <w:color w:val="000000"/>
                      <w:kern w:val="0"/>
                      <w:sz w:val="27"/>
                      <w:szCs w:val="27"/>
                      <w:u w:val="none"/>
                      <w:lang w:val="en-US" w:eastAsia="zh-CN" w:bidi="ar"/>
                    </w:rPr>
                    <w:t>思政教研部学生暑期社会实践情况反馈表</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tbl>
                  <w:tblPr>
                    <w:tblW w:w="8287"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2"/>
                    <w:gridCol w:w="2238"/>
                    <w:gridCol w:w="994"/>
                    <w:gridCol w:w="165"/>
                    <w:gridCol w:w="1492"/>
                    <w:gridCol w:w="994"/>
                    <w:gridCol w:w="14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12"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学生</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姓名</w:t>
                        </w:r>
                      </w:p>
                    </w:tc>
                    <w:tc>
                      <w:tcPr>
                        <w:tcW w:w="2238"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c>
                      <w:tcPr>
                        <w:tcW w:w="1159" w:type="dxa"/>
                        <w:gridSpan w:val="2"/>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专业</w:t>
                        </w:r>
                      </w:p>
                    </w:tc>
                    <w:tc>
                      <w:tcPr>
                        <w:tcW w:w="1492"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c>
                      <w:tcPr>
                        <w:tcW w:w="994"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班级</w:t>
                        </w:r>
                      </w:p>
                    </w:tc>
                    <w:tc>
                      <w:tcPr>
                        <w:tcW w:w="1492"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12"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实践</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单位</w:t>
                        </w:r>
                      </w:p>
                    </w:tc>
                    <w:tc>
                      <w:tcPr>
                        <w:tcW w:w="7375" w:type="dxa"/>
                        <w:gridSpan w:val="6"/>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12"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实践</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类别</w:t>
                        </w:r>
                      </w:p>
                    </w:tc>
                    <w:tc>
                      <w:tcPr>
                        <w:tcW w:w="3232" w:type="dxa"/>
                        <w:gridSpan w:val="2"/>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（）公益活动   （）挂职锻炼</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（）基层调研   （）其    他</w:t>
                        </w:r>
                      </w:p>
                    </w:tc>
                    <w:tc>
                      <w:tcPr>
                        <w:tcW w:w="1657" w:type="dxa"/>
                        <w:gridSpan w:val="2"/>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实践时段</w:t>
                        </w:r>
                      </w:p>
                    </w:tc>
                    <w:tc>
                      <w:tcPr>
                        <w:tcW w:w="2486" w:type="dxa"/>
                        <w:gridSpan w:val="2"/>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12"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实践</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内容</w:t>
                        </w:r>
                      </w:p>
                    </w:tc>
                    <w:tc>
                      <w:tcPr>
                        <w:tcW w:w="7375" w:type="dxa"/>
                        <w:gridSpan w:val="6"/>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实践过程的说明及实践心得与实践体会</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12"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实践</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单位</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意见</w:t>
                        </w:r>
                      </w:p>
                    </w:tc>
                    <w:tc>
                      <w:tcPr>
                        <w:tcW w:w="7375" w:type="dxa"/>
                        <w:gridSpan w:val="6"/>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12"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指导</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教师</w:t>
                        </w:r>
                      </w:p>
                      <w:p>
                        <w:pPr>
                          <w:keepNext w:val="0"/>
                          <w:keepLines w:val="0"/>
                          <w:widowControl/>
                          <w:suppressLineNumbers w:val="0"/>
                          <w:jc w:val="center"/>
                          <w:rPr>
                            <w:color w:val="000000"/>
                            <w:sz w:val="18"/>
                            <w:szCs w:val="18"/>
                            <w:u w:val="none"/>
                          </w:rPr>
                        </w:pPr>
                        <w:r>
                          <w:rPr>
                            <w:rFonts w:ascii="宋体" w:hAnsi="宋体" w:eastAsia="宋体" w:cs="宋体"/>
                            <w:color w:val="000000"/>
                            <w:kern w:val="0"/>
                            <w:sz w:val="27"/>
                            <w:szCs w:val="27"/>
                            <w:u w:val="none"/>
                            <w:lang w:val="en-US" w:eastAsia="zh-CN" w:bidi="ar"/>
                          </w:rPr>
                          <w:t>评定</w:t>
                        </w:r>
                      </w:p>
                    </w:tc>
                    <w:tc>
                      <w:tcPr>
                        <w:tcW w:w="7375" w:type="dxa"/>
                        <w:gridSpan w:val="6"/>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912" w:type="dxa"/>
                        <w:shd w:val="clear"/>
                        <w:vAlign w:val="center"/>
                      </w:tcPr>
                      <w:p>
                        <w:pPr>
                          <w:rPr>
                            <w:rFonts w:hint="eastAsia" w:ascii="宋体"/>
                            <w:color w:val="000000"/>
                            <w:sz w:val="18"/>
                            <w:szCs w:val="18"/>
                            <w:u w:val="none"/>
                          </w:rPr>
                        </w:pPr>
                      </w:p>
                    </w:tc>
                    <w:tc>
                      <w:tcPr>
                        <w:tcW w:w="2238" w:type="dxa"/>
                        <w:shd w:val="clear"/>
                        <w:vAlign w:val="center"/>
                      </w:tcPr>
                      <w:p>
                        <w:pPr>
                          <w:rPr>
                            <w:rFonts w:hint="eastAsia" w:ascii="宋体"/>
                            <w:color w:val="000000"/>
                            <w:sz w:val="18"/>
                            <w:szCs w:val="18"/>
                            <w:u w:val="none"/>
                          </w:rPr>
                        </w:pPr>
                      </w:p>
                    </w:tc>
                    <w:tc>
                      <w:tcPr>
                        <w:tcW w:w="994" w:type="dxa"/>
                        <w:shd w:val="clear"/>
                        <w:vAlign w:val="center"/>
                      </w:tcPr>
                      <w:p>
                        <w:pPr>
                          <w:rPr>
                            <w:rFonts w:hint="eastAsia" w:ascii="宋体"/>
                            <w:color w:val="000000"/>
                            <w:sz w:val="18"/>
                            <w:szCs w:val="18"/>
                            <w:u w:val="none"/>
                          </w:rPr>
                        </w:pPr>
                      </w:p>
                    </w:tc>
                    <w:tc>
                      <w:tcPr>
                        <w:tcW w:w="165" w:type="dxa"/>
                        <w:shd w:val="clear"/>
                        <w:vAlign w:val="center"/>
                      </w:tcPr>
                      <w:p>
                        <w:pPr>
                          <w:rPr>
                            <w:rFonts w:hint="eastAsia" w:ascii="宋体"/>
                            <w:color w:val="000000"/>
                            <w:sz w:val="18"/>
                            <w:szCs w:val="18"/>
                            <w:u w:val="none"/>
                          </w:rPr>
                        </w:pPr>
                      </w:p>
                    </w:tc>
                    <w:tc>
                      <w:tcPr>
                        <w:tcW w:w="1492" w:type="dxa"/>
                        <w:shd w:val="clear"/>
                        <w:vAlign w:val="center"/>
                      </w:tcPr>
                      <w:p>
                        <w:pPr>
                          <w:rPr>
                            <w:rFonts w:hint="eastAsia" w:ascii="宋体"/>
                            <w:color w:val="000000"/>
                            <w:sz w:val="18"/>
                            <w:szCs w:val="18"/>
                            <w:u w:val="none"/>
                          </w:rPr>
                        </w:pPr>
                      </w:p>
                    </w:tc>
                    <w:tc>
                      <w:tcPr>
                        <w:tcW w:w="994" w:type="dxa"/>
                        <w:shd w:val="clear"/>
                        <w:vAlign w:val="center"/>
                      </w:tcPr>
                      <w:p>
                        <w:pPr>
                          <w:rPr>
                            <w:rFonts w:hint="eastAsia" w:ascii="宋体"/>
                            <w:color w:val="000000"/>
                            <w:sz w:val="18"/>
                            <w:szCs w:val="18"/>
                            <w:u w:val="none"/>
                          </w:rPr>
                        </w:pPr>
                      </w:p>
                    </w:tc>
                    <w:tc>
                      <w:tcPr>
                        <w:tcW w:w="1492" w:type="dxa"/>
                        <w:shd w:val="clear"/>
                        <w:vAlign w:val="center"/>
                      </w:tcPr>
                      <w:p>
                        <w:pPr>
                          <w:rPr>
                            <w:rFonts w:hint="eastAsia" w:ascii="宋体"/>
                            <w:color w:val="000000"/>
                            <w:sz w:val="18"/>
                            <w:szCs w:val="18"/>
                            <w:u w:val="none"/>
                          </w:rPr>
                        </w:pPr>
                      </w:p>
                    </w:tc>
                  </w:tr>
                </w:tbl>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p>
                  <w:pPr>
                    <w:keepNext w:val="0"/>
                    <w:keepLines w:val="0"/>
                    <w:widowControl/>
                    <w:suppressLineNumbers w:val="0"/>
                    <w:jc w:val="left"/>
                    <w:rPr>
                      <w:color w:val="000000"/>
                      <w:sz w:val="18"/>
                      <w:szCs w:val="18"/>
                      <w:u w:val="none"/>
                    </w:rPr>
                  </w:pPr>
                  <w:r>
                    <w:rPr>
                      <w:rStyle w:val="3"/>
                      <w:rFonts w:ascii="宋体" w:hAnsi="宋体" w:eastAsia="宋体" w:cs="宋体"/>
                      <w:color w:val="000000"/>
                      <w:kern w:val="0"/>
                      <w:sz w:val="27"/>
                      <w:szCs w:val="27"/>
                      <w:u w:val="none"/>
                      <w:lang w:val="en-US" w:eastAsia="zh-CN" w:bidi="ar"/>
                    </w:rPr>
                    <w:t>附：社会调查参考题目</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1.中国特色社会主义在农村的主要体现（政治、经济、文化等）</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2.市民公共道德意识现状调查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3.关于大学助学贷款的社会调查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4.从科学发展观，看落后地区农村基层教育</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5.关于新农村建设的社会调查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6.以科学发展观为指导，关于生态文明城市建设的社会调查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7.关于农村留守儿童的调查分析</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8.周边地区新型合作医疗情况调查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9.家乡义务教育情况调查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10.当前人民群众精神文化需求的新特点新变化调查研究</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11.高校毕业生就业问题调查研究</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12.大学生参加社会实践的意义和途径方式调查研究</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13.城市中农民工生存现状调查与思考</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14.周边地区用水情况调查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15.农民税赋负担问题调查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16大学生在乡创业调查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17.建设社会主义新农村的典型调查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18. 养老方式变化趋势及原因调查分析</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19. 新世纪本地区宗教发展现状、趋势及对策调查研究</w:t>
                  </w:r>
                </w:p>
                <w:p>
                  <w:pPr>
                    <w:keepNext w:val="0"/>
                    <w:keepLines w:val="0"/>
                    <w:widowControl/>
                    <w:suppressLineNumbers w:val="0"/>
                    <w:jc w:val="left"/>
                    <w:rPr>
                      <w:color w:val="000000"/>
                      <w:sz w:val="18"/>
                      <w:szCs w:val="18"/>
                      <w:u w:val="none"/>
                    </w:rPr>
                  </w:pPr>
                  <w:r>
                    <w:rPr>
                      <w:rFonts w:ascii="宋体" w:hAnsi="宋体" w:eastAsia="宋体" w:cs="宋体"/>
                      <w:color w:val="000000"/>
                      <w:kern w:val="0"/>
                      <w:sz w:val="27"/>
                      <w:szCs w:val="27"/>
                      <w:u w:val="none"/>
                      <w:lang w:val="en-US" w:eastAsia="zh-CN" w:bidi="ar"/>
                    </w:rPr>
                    <w:t>20. 假日经济（旅游型农村）发展调查</w:t>
                  </w:r>
                </w:p>
                <w:p>
                  <w:pPr>
                    <w:keepNext w:val="0"/>
                    <w:keepLines w:val="0"/>
                    <w:widowControl/>
                    <w:suppressLineNumbers w:val="0"/>
                    <w:jc w:val="left"/>
                    <w:rPr>
                      <w:color w:val="000000"/>
                      <w:sz w:val="18"/>
                      <w:szCs w:val="18"/>
                      <w:u w:val="none"/>
                    </w:rPr>
                  </w:pPr>
                  <w:r>
                    <w:rPr>
                      <w:rFonts w:ascii="宋体" w:hAnsi="宋体" w:eastAsia="宋体" w:cs="宋体"/>
                      <w:color w:val="000000"/>
                      <w:kern w:val="0"/>
                      <w:sz w:val="18"/>
                      <w:szCs w:val="18"/>
                      <w:u w:val="none"/>
                      <w:lang w:val="en-US" w:eastAsia="zh-CN" w:bidi="ar"/>
                    </w:rPr>
                    <w:t> </w:t>
                  </w:r>
                </w:p>
                <w:tbl>
                  <w:tblPr>
                    <w:tblW w:w="9340"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95"/>
                    <w:gridCol w:w="1540"/>
                    <w:gridCol w:w="1168"/>
                    <w:gridCol w:w="1167"/>
                    <w:gridCol w:w="795"/>
                    <w:gridCol w:w="1540"/>
                    <w:gridCol w:w="1168"/>
                    <w:gridCol w:w="11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4"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b/>
                            <w:color w:val="000000"/>
                            <w:kern w:val="0"/>
                            <w:sz w:val="18"/>
                            <w:szCs w:val="18"/>
                            <w:u w:val="none"/>
                            <w:lang w:val="en-US" w:eastAsia="zh-CN" w:bidi="ar"/>
                          </w:rPr>
                          <w:t>序号</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b/>
                            <w:color w:val="000000"/>
                            <w:kern w:val="0"/>
                            <w:sz w:val="18"/>
                            <w:szCs w:val="18"/>
                            <w:u w:val="none"/>
                            <w:lang w:val="en-US" w:eastAsia="zh-CN" w:bidi="ar"/>
                          </w:rPr>
                          <w:t>班级</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b/>
                            <w:color w:val="000000"/>
                            <w:kern w:val="0"/>
                            <w:sz w:val="18"/>
                            <w:szCs w:val="18"/>
                            <w:u w:val="none"/>
                            <w:lang w:val="en-US" w:eastAsia="zh-CN" w:bidi="ar"/>
                          </w:rPr>
                          <w:t>指导教师</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b/>
                            <w:color w:val="000000"/>
                            <w:kern w:val="0"/>
                            <w:sz w:val="18"/>
                            <w:szCs w:val="18"/>
                            <w:u w:val="none"/>
                            <w:lang w:val="en-US" w:eastAsia="zh-CN" w:bidi="ar"/>
                          </w:rPr>
                          <w:t>联系电话</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b/>
                            <w:color w:val="000000"/>
                            <w:kern w:val="0"/>
                            <w:sz w:val="18"/>
                            <w:szCs w:val="18"/>
                            <w:u w:val="none"/>
                            <w:lang w:val="en-US" w:eastAsia="zh-CN" w:bidi="ar"/>
                          </w:rPr>
                          <w:t>序号</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b/>
                            <w:color w:val="000000"/>
                            <w:kern w:val="0"/>
                            <w:sz w:val="18"/>
                            <w:szCs w:val="18"/>
                            <w:u w:val="none"/>
                            <w:lang w:val="en-US" w:eastAsia="zh-CN" w:bidi="ar"/>
                          </w:rPr>
                          <w:t>班级</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b/>
                            <w:color w:val="000000"/>
                            <w:kern w:val="0"/>
                            <w:sz w:val="18"/>
                            <w:szCs w:val="18"/>
                            <w:u w:val="none"/>
                            <w:lang w:val="en-US" w:eastAsia="zh-CN" w:bidi="ar"/>
                          </w:rPr>
                          <w:t>指导教师</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b/>
                            <w:color w:val="000000"/>
                            <w:kern w:val="0"/>
                            <w:sz w:val="18"/>
                            <w:szCs w:val="18"/>
                            <w:u w:val="none"/>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铁工5071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道桥3094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雷波</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铁工5072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道桥3095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宋勇</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铁工5073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道桥3096</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宋勇</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铁工5074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道桥3097</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宋勇</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道桥5071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道桥3098</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宋勇</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4"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道桥5072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材料3091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程洁</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测量5071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材料3092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程洁</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测量5072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材料3093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王云波</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建工5071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材料3094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王云波</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建工5072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杨丽娜</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材料3095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王云波</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5081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材料3096</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王云波</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5082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测量3091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程洁</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5083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测量3092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程洁</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5084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测量3093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吴海光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5085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测量3094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吴海光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5086</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测量3095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吴海光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5087</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测量3096</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吴海光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5088</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建工3091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吴海光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19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建工3092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吴海光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造价3091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李昌锋</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造价3092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李昌锋</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物流3091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李昌锋</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物流3092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李昌锋</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铁工3096</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69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物流3093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李昌锋</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铁工3097</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物流3094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李昌锋</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铁工3098</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监理3091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李越</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铁工3099</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网络3091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李越</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铁工30910</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李莉</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2221107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机械3091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李越</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高铁3091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机械3092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李越</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高铁3092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通号3091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李越</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高铁3093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高铁3094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高铁3095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高铁3096</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79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轨道3091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轨道3092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0906</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隧道3091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0907</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隧道3092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惠永忠</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0908</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39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隧道3093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胡静静</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0909</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隧道3094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胡静静</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0910</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屈克林</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41</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隧道3095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胡静静</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86</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0911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42</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隧道3096</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胡静静</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　</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87</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0912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43</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道桥3091</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雷波</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2221327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88</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0913</w:t>
                        </w:r>
                        <w:bookmarkStart w:id="0" w:name="_GoBack"/>
                        <w:bookmarkEnd w:id="0"/>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王瑞青</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44</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道桥3092</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雷波</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2221327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89</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0914</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李昌锋</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4" w:hRule="atLeast"/>
                      <w:tblCellSpacing w:w="0" w:type="dxa"/>
                    </w:trPr>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45</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道桥3093</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雷波</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2221327</w:t>
                        </w:r>
                      </w:p>
                    </w:tc>
                    <w:tc>
                      <w:tcPr>
                        <w:tcW w:w="795"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90</w:t>
                        </w:r>
                      </w:p>
                    </w:tc>
                    <w:tc>
                      <w:tcPr>
                        <w:tcW w:w="1540" w:type="dxa"/>
                        <w:shd w:val="clear"/>
                        <w:vAlign w:val="center"/>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0915</w:t>
                        </w:r>
                      </w:p>
                    </w:tc>
                    <w:tc>
                      <w:tcPr>
                        <w:tcW w:w="1168"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李昌锋</w:t>
                        </w:r>
                      </w:p>
                    </w:tc>
                    <w:tc>
                      <w:tcPr>
                        <w:tcW w:w="1167" w:type="dxa"/>
                        <w:shd w:val="clear"/>
                        <w:vAlign w:val="top"/>
                      </w:tcPr>
                      <w:p>
                        <w:pPr>
                          <w:keepNext w:val="0"/>
                          <w:keepLines w:val="0"/>
                          <w:widowControl/>
                          <w:suppressLineNumbers w:val="0"/>
                          <w:jc w:val="center"/>
                          <w:rPr>
                            <w:color w:val="000000"/>
                            <w:sz w:val="18"/>
                            <w:szCs w:val="18"/>
                            <w:u w:val="none"/>
                          </w:rPr>
                        </w:pPr>
                        <w:r>
                          <w:rPr>
                            <w:rFonts w:ascii="宋体" w:hAnsi="宋体" w:eastAsia="宋体" w:cs="宋体"/>
                            <w:color w:val="000000"/>
                            <w:kern w:val="0"/>
                            <w:sz w:val="18"/>
                            <w:szCs w:val="18"/>
                            <w:u w:val="none"/>
                            <w:lang w:val="en-US" w:eastAsia="zh-CN" w:bidi="ar"/>
                          </w:rPr>
                          <w:t>2088735</w:t>
                        </w:r>
                      </w:p>
                    </w:tc>
                  </w:tr>
                </w:tbl>
                <w:p>
                  <w:pPr>
                    <w:jc w:val="center"/>
                    <w:rPr>
                      <w:color w:val="000000"/>
                      <w:sz w:val="18"/>
                      <w:szCs w:val="18"/>
                      <w:u w:val="none"/>
                    </w:rPr>
                  </w:pPr>
                </w:p>
              </w:tc>
            </w:tr>
          </w:tbl>
          <w:p>
            <w:pPr>
              <w:rPr>
                <w:rFonts w:ascii="微软雅黑" w:hAnsi="微软雅黑" w:eastAsia="微软雅黑" w:cs="微软雅黑"/>
                <w:caps w:val="0"/>
                <w:color w:val="000000"/>
                <w:spacing w:val="0"/>
                <w:sz w:val="18"/>
                <w:szCs w:val="18"/>
                <w:u w:val="none"/>
              </w:rPr>
            </w:pPr>
          </w:p>
        </w:tc>
      </w:tr>
      <w:tr>
        <w:tblPrEx>
          <w:tblLayout w:type="fixed"/>
          <w:tblCellMar>
            <w:top w:w="0" w:type="dxa"/>
            <w:left w:w="0" w:type="dxa"/>
            <w:bottom w:w="0" w:type="dxa"/>
            <w:right w:w="0" w:type="dxa"/>
          </w:tblCellMar>
        </w:tblPrEx>
        <w:trPr>
          <w:tblCellSpacing w:w="0" w:type="dxa"/>
          <w:jc w:val="center"/>
        </w:trPr>
        <w:tc>
          <w:tcPr>
            <w:tcW w:w="8306" w:type="dxa"/>
            <w:shd w:val="clear"/>
            <w:vAlign w:val="center"/>
          </w:tcPr>
          <w:p>
            <w:pPr>
              <w:keepNext w:val="0"/>
              <w:keepLines w:val="0"/>
              <w:widowControl/>
              <w:suppressLineNumbers w:val="0"/>
              <w:ind w:left="0" w:firstLine="0"/>
              <w:jc w:val="left"/>
              <w:rPr>
                <w:rFonts w:hint="eastAsia" w:ascii="微软雅黑" w:hAnsi="微软雅黑" w:eastAsia="微软雅黑" w:cs="微软雅黑"/>
                <w:caps w:val="0"/>
                <w:color w:val="000000"/>
                <w:spacing w:val="0"/>
                <w:sz w:val="18"/>
                <w:szCs w:val="18"/>
                <w:u w:val="none"/>
              </w:rPr>
            </w:pPr>
            <w:r>
              <w:rPr>
                <w:rFonts w:hint="eastAsia" w:ascii="微软雅黑" w:hAnsi="微软雅黑" w:eastAsia="微软雅黑" w:cs="微软雅黑"/>
                <w:caps w:val="0"/>
                <w:color w:val="000000"/>
                <w:spacing w:val="0"/>
                <w:kern w:val="0"/>
                <w:sz w:val="18"/>
                <w:szCs w:val="18"/>
                <w:u w:val="none"/>
                <w:lang w:val="en-US" w:eastAsia="zh-CN" w:bidi="ar"/>
              </w:rPr>
              <w:fldChar w:fldCharType="begin"/>
            </w:r>
            <w:r>
              <w:rPr>
                <w:rFonts w:hint="eastAsia" w:ascii="微软雅黑" w:hAnsi="微软雅黑" w:eastAsia="微软雅黑" w:cs="微软雅黑"/>
                <w:caps w:val="0"/>
                <w:color w:val="000000"/>
                <w:spacing w:val="0"/>
                <w:kern w:val="0"/>
                <w:sz w:val="18"/>
                <w:szCs w:val="18"/>
                <w:u w:val="none"/>
                <w:lang w:val="en-US" w:eastAsia="zh-CN" w:bidi="ar"/>
              </w:rPr>
              <w:instrText xml:space="preserve">INCLUDEPICTURE \d "http://szjyb.sxri.net/img/1x1_pix.gif" \* MERGEFORMATINET </w:instrText>
            </w:r>
            <w:r>
              <w:rPr>
                <w:rFonts w:hint="eastAsia" w:ascii="微软雅黑" w:hAnsi="微软雅黑" w:eastAsia="微软雅黑" w:cs="微软雅黑"/>
                <w:caps w:val="0"/>
                <w:color w:val="000000"/>
                <w:spacing w:val="0"/>
                <w:kern w:val="0"/>
                <w:sz w:val="18"/>
                <w:szCs w:val="18"/>
                <w:u w:val="none"/>
                <w:lang w:val="en-US" w:eastAsia="zh-CN" w:bidi="ar"/>
              </w:rPr>
              <w:fldChar w:fldCharType="separate"/>
            </w:r>
            <w:r>
              <w:rPr>
                <w:rFonts w:hint="eastAsia" w:ascii="微软雅黑" w:hAnsi="微软雅黑" w:eastAsia="微软雅黑" w:cs="微软雅黑"/>
                <w:caps w:val="0"/>
                <w:color w:val="000000"/>
                <w:spacing w:val="0"/>
                <w:kern w:val="0"/>
                <w:sz w:val="18"/>
                <w:szCs w:val="18"/>
                <w:u w:val="none"/>
                <w:lang w:val="en-US" w:eastAsia="zh-CN" w:bidi="ar"/>
              </w:rPr>
              <w:drawing>
                <wp:inline distT="0" distB="0" distL="114300" distR="114300">
                  <wp:extent cx="95250"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0" cy="9525"/>
                          </a:xfrm>
                          <a:prstGeom prst="rect">
                            <a:avLst/>
                          </a:prstGeom>
                          <a:noFill/>
                          <a:ln w="9525">
                            <a:noFill/>
                          </a:ln>
                        </pic:spPr>
                      </pic:pic>
                    </a:graphicData>
                  </a:graphic>
                </wp:inline>
              </w:drawing>
            </w:r>
            <w:r>
              <w:rPr>
                <w:rFonts w:hint="eastAsia" w:ascii="微软雅黑" w:hAnsi="微软雅黑" w:eastAsia="微软雅黑" w:cs="微软雅黑"/>
                <w:caps w:val="0"/>
                <w:color w:val="000000"/>
                <w:spacing w:val="0"/>
                <w:kern w:val="0"/>
                <w:sz w:val="18"/>
                <w:szCs w:val="18"/>
                <w:u w:val="none"/>
                <w:lang w:val="en-US" w:eastAsia="zh-CN" w:bidi="ar"/>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1953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2017-03-20T06:34:18Z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